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3F27" w14:textId="77777777" w:rsidR="00071448" w:rsidRPr="00071448" w:rsidRDefault="00071448" w:rsidP="00071448">
      <w:pPr>
        <w:tabs>
          <w:tab w:val="left" w:pos="5387"/>
        </w:tabs>
        <w:spacing w:after="0" w:line="36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14:paraId="476795D5" w14:textId="77777777" w:rsidR="00071448" w:rsidRPr="00071448" w:rsidRDefault="00071448" w:rsidP="00071448">
      <w:pPr>
        <w:tabs>
          <w:tab w:val="left" w:pos="5529"/>
        </w:tabs>
        <w:spacing w:before="100" w:beforeAutospacing="1" w:after="0" w:line="240" w:lineRule="auto"/>
        <w:ind w:left="524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Наказ управління містобудування та архітектури Прилуцької міської ради Чернігівської області</w:t>
      </w:r>
    </w:p>
    <w:p w14:paraId="6BEBDDF9" w14:textId="77777777" w:rsidR="00071448" w:rsidRPr="00071448" w:rsidRDefault="00071448" w:rsidP="00071448">
      <w:pPr>
        <w:tabs>
          <w:tab w:val="left" w:pos="5245"/>
        </w:tabs>
        <w:spacing w:after="0" w:line="240" w:lineRule="auto"/>
        <w:ind w:left="5245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071448">
        <w:rPr>
          <w:rFonts w:ascii="Times New Roman" w:eastAsia="Times New Roman" w:hAnsi="Times New Roman"/>
          <w:sz w:val="28"/>
          <w:szCs w:val="24"/>
          <w:lang w:val="uk-UA" w:eastAsia="ru-RU"/>
        </w:rPr>
        <w:t>Від______________№__________</w:t>
      </w:r>
    </w:p>
    <w:p w14:paraId="52AF923E" w14:textId="77777777" w:rsidR="00071448" w:rsidRPr="00071448" w:rsidRDefault="00071448" w:rsidP="000714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020464" w14:textId="7A3DC5B9" w:rsidR="00071448" w:rsidRPr="00071448" w:rsidRDefault="00071448" w:rsidP="000714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F6F3FD3" w14:textId="2ED7386E" w:rsid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ІНФОРМАЦІЙНА КАРТКА АДМІНІСТРАТИВНОЇ ПОСЛУГИ</w:t>
      </w:r>
    </w:p>
    <w:p w14:paraId="119C8EEF" w14:textId="77777777" w:rsid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2C17B38" w14:textId="77777777" w:rsidR="00071448" w:rsidRPr="00071448" w:rsidRDefault="00071448" w:rsidP="000714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СКАСУВАННЯ МІСТОБУДІВНИХ УМОВ ТА ОБМЕЖЕНЬ</w:t>
      </w:r>
    </w:p>
    <w:p w14:paraId="33A0F294" w14:textId="77777777" w:rsidR="00071448" w:rsidRP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448">
        <w:rPr>
          <w:rFonts w:ascii="Times New Roman" w:eastAsia="Times New Roman" w:hAnsi="Times New Roman"/>
          <w:sz w:val="24"/>
          <w:szCs w:val="24"/>
          <w:lang w:val="uk-UA" w:eastAsia="ru-RU"/>
        </w:rPr>
        <w:t>(назва адміністративної послуги)</w:t>
      </w:r>
    </w:p>
    <w:p w14:paraId="4086EC6F" w14:textId="77777777" w:rsidR="00071448" w:rsidRP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32941E8" w14:textId="77777777" w:rsidR="00071448" w:rsidRP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  <w:r w:rsidRPr="00071448"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  <w:t xml:space="preserve">УПРАВЛІННЯ МІСТОБУДУВАННЯ ТА АРХІТЕКТУРИ </w:t>
      </w:r>
    </w:p>
    <w:p w14:paraId="30D2241E" w14:textId="77777777" w:rsidR="00071448" w:rsidRP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  <w:r w:rsidRPr="00071448"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  <w:t>ПРИЛУЦЬКОЇ МІСЬКОЇ РАДИ ЧЕРНІГІВСЬКОЇ ОБЛАСТІ</w:t>
      </w:r>
    </w:p>
    <w:p w14:paraId="08C06DA4" w14:textId="593ADEC7" w:rsid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  <w:r w:rsidRPr="00071448">
        <w:rPr>
          <w:rFonts w:ascii="Times New Roman" w:eastAsia="Times New Roman" w:hAnsi="Times New Roman"/>
          <w:lang w:val="uk-UA" w:eastAsia="ru-RU"/>
        </w:rPr>
        <w:t xml:space="preserve"> (найменування суб’єкта надання адміністративної послуги)</w:t>
      </w:r>
    </w:p>
    <w:p w14:paraId="42816CF5" w14:textId="35AB8DE1" w:rsid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74"/>
        <w:gridCol w:w="6181"/>
      </w:tblGrid>
      <w:tr w:rsidR="00071448" w:rsidRPr="00071448" w14:paraId="16B9B664" w14:textId="77777777" w:rsidTr="00553454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3F5B" w14:textId="77777777" w:rsidR="00071448" w:rsidRPr="00071448" w:rsidRDefault="00071448" w:rsidP="0007144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Інформація про суб’єкта надання адміністративної послуги або</w:t>
            </w:r>
          </w:p>
          <w:p w14:paraId="57634778" w14:textId="77777777" w:rsidR="00071448" w:rsidRPr="00071448" w:rsidRDefault="00071448" w:rsidP="0007144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центр надання адміністративних послуг</w:t>
            </w:r>
          </w:p>
        </w:tc>
      </w:tr>
      <w:tr w:rsidR="00071448" w:rsidRPr="00071448" w14:paraId="02F8E155" w14:textId="77777777" w:rsidTr="00553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E1A" w14:textId="77777777" w:rsidR="00071448" w:rsidRPr="00071448" w:rsidRDefault="00071448" w:rsidP="000714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8FD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071448" w:rsidRPr="00071448" w14:paraId="77D1A903" w14:textId="77777777" w:rsidTr="00553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12E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723" w14:textId="77777777" w:rsidR="00071448" w:rsidRPr="00071448" w:rsidRDefault="00071448" w:rsidP="000714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7BF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071448" w:rsidRPr="00071448" w14:paraId="7C6A980D" w14:textId="77777777" w:rsidTr="00553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73E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8CD" w14:textId="77777777" w:rsidR="00071448" w:rsidRPr="00071448" w:rsidRDefault="00071448" w:rsidP="000714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429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 - П’ятниця:</w:t>
            </w:r>
          </w:p>
          <w:p w14:paraId="7798141D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8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17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04899F8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(обідня перерва: з 12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13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14:paraId="1C477545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</w:t>
            </w:r>
          </w:p>
        </w:tc>
      </w:tr>
      <w:tr w:rsidR="00071448" w:rsidRPr="00071448" w14:paraId="37DD95E0" w14:textId="77777777" w:rsidTr="00553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F93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FD3" w14:textId="77777777" w:rsidR="00071448" w:rsidRPr="00071448" w:rsidRDefault="00071448" w:rsidP="000714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сайта</w:t>
            </w:r>
            <w:proofErr w:type="spellEnd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F0D" w14:textId="77777777" w:rsidR="00071448" w:rsidRPr="00071448" w:rsidRDefault="00071448" w:rsidP="00071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+38(095)-597-73-62</w:t>
            </w:r>
          </w:p>
          <w:p w14:paraId="118810B2" w14:textId="77777777" w:rsidR="00071448" w:rsidRPr="00071448" w:rsidRDefault="00071448" w:rsidP="00071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e-</w:t>
            </w:r>
            <w:proofErr w:type="spellStart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rada_architektura@i.ua</w:t>
            </w:r>
          </w:p>
          <w:p w14:paraId="2BF52E45" w14:textId="77777777" w:rsidR="00071448" w:rsidRPr="00071448" w:rsidRDefault="00071448" w:rsidP="00071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Адреса офіційного веб-сайту: </w:t>
            </w:r>
          </w:p>
          <w:p w14:paraId="77FCC9FB" w14:textId="77777777" w:rsidR="00071448" w:rsidRPr="00071448" w:rsidRDefault="00071448" w:rsidP="00071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https://pryluky.cg.gov.ua</w:t>
            </w:r>
          </w:p>
        </w:tc>
      </w:tr>
      <w:tr w:rsidR="00071448" w:rsidRPr="00071448" w14:paraId="7AAA0FDC" w14:textId="77777777" w:rsidTr="00553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3C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Інформація про центр надання адміністративних послуг</w:t>
            </w:r>
          </w:p>
        </w:tc>
      </w:tr>
      <w:tr w:rsidR="00071448" w:rsidRPr="00071448" w14:paraId="24E35BD2" w14:textId="77777777" w:rsidTr="00553454">
        <w:tc>
          <w:tcPr>
            <w:tcW w:w="3708" w:type="dxa"/>
            <w:gridSpan w:val="2"/>
          </w:tcPr>
          <w:p w14:paraId="692F6DAB" w14:textId="77777777" w:rsidR="00071448" w:rsidRPr="00071448" w:rsidRDefault="00071448" w:rsidP="000714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81" w:type="dxa"/>
          </w:tcPr>
          <w:p w14:paraId="5B8F37F9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0633928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Управління адміністративних послуг </w:t>
            </w:r>
          </w:p>
          <w:p w14:paraId="19946403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(Центр надання адміністративних послуг м. Прилуки) </w:t>
            </w:r>
          </w:p>
          <w:p w14:paraId="6CCD8E92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Прилуцької міської ради</w:t>
            </w:r>
          </w:p>
        </w:tc>
      </w:tr>
      <w:tr w:rsidR="00071448" w:rsidRPr="00071448" w14:paraId="42DD97AD" w14:textId="77777777" w:rsidTr="00553454">
        <w:tc>
          <w:tcPr>
            <w:tcW w:w="534" w:type="dxa"/>
          </w:tcPr>
          <w:p w14:paraId="4146469B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74" w:type="dxa"/>
          </w:tcPr>
          <w:p w14:paraId="400F6E71" w14:textId="77777777" w:rsidR="00071448" w:rsidRPr="00071448" w:rsidRDefault="00071448" w:rsidP="000714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81" w:type="dxa"/>
          </w:tcPr>
          <w:p w14:paraId="2B0CBF7E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14:paraId="231B0178" w14:textId="77777777" w:rsidR="00071448" w:rsidRPr="00071448" w:rsidRDefault="00071448" w:rsidP="0007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17500, Чернігівська, обл., Прилуцький район, </w:t>
            </w:r>
          </w:p>
          <w:p w14:paraId="5E141103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м. Прилуки, вул. Івана Скоропадського, 102 А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71448" w:rsidRPr="00071448" w14:paraId="1C9D847F" w14:textId="77777777" w:rsidTr="00553454">
        <w:trPr>
          <w:trHeight w:val="1550"/>
        </w:trPr>
        <w:tc>
          <w:tcPr>
            <w:tcW w:w="534" w:type="dxa"/>
          </w:tcPr>
          <w:p w14:paraId="4A109DCA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74" w:type="dxa"/>
          </w:tcPr>
          <w:p w14:paraId="7A823555" w14:textId="77777777" w:rsidR="00071448" w:rsidRPr="00071448" w:rsidRDefault="00071448" w:rsidP="000714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81" w:type="dxa"/>
          </w:tcPr>
          <w:p w14:paraId="7044EDBF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 – Середа 8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-17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14:paraId="1F619992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                       8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-20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14:paraId="7E4D4024" w14:textId="77777777" w:rsidR="00071448" w:rsidRPr="00071448" w:rsidRDefault="00071448" w:rsidP="0007144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8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-17</w:t>
            </w:r>
            <w:r w:rsidRPr="000714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14:paraId="74A29791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 – неділя вихідний день </w:t>
            </w:r>
          </w:p>
        </w:tc>
      </w:tr>
      <w:tr w:rsidR="00071448" w:rsidRPr="00071448" w14:paraId="56C1042E" w14:textId="77777777" w:rsidTr="00553454">
        <w:tc>
          <w:tcPr>
            <w:tcW w:w="534" w:type="dxa"/>
          </w:tcPr>
          <w:p w14:paraId="61F0C87D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74" w:type="dxa"/>
          </w:tcPr>
          <w:p w14:paraId="6D4840C5" w14:textId="77777777" w:rsidR="00071448" w:rsidRPr="00071448" w:rsidRDefault="00071448" w:rsidP="000714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81" w:type="dxa"/>
          </w:tcPr>
          <w:p w14:paraId="07E9ABD9" w14:textId="77777777" w:rsidR="00071448" w:rsidRPr="00071448" w:rsidRDefault="00071448" w:rsidP="00071448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+38 (050) 910-90-99</w:t>
            </w:r>
          </w:p>
          <w:p w14:paraId="2A725510" w14:textId="77777777" w:rsidR="00071448" w:rsidRPr="00071448" w:rsidRDefault="00071448" w:rsidP="00071448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e-</w:t>
            </w:r>
            <w:proofErr w:type="spellStart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0714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hyperlink r:id="rId6" w:history="1">
              <w:r w:rsidRPr="0007144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val="uk-UA" w:eastAsia="ru-RU"/>
                </w:rPr>
                <w:t>cnapprilyki@gmail.com</w:t>
              </w:r>
            </w:hyperlink>
          </w:p>
          <w:p w14:paraId="7F36073F" w14:textId="77777777" w:rsidR="00071448" w:rsidRPr="00071448" w:rsidRDefault="00071448" w:rsidP="0007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7" w:history="1">
              <w:r w:rsidRPr="0007144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val="uk-UA" w:eastAsia="ru-RU"/>
                </w:rPr>
                <w:t>https://cnap-priluki.cg.gov.ua</w:t>
              </w:r>
            </w:hyperlink>
          </w:p>
        </w:tc>
      </w:tr>
    </w:tbl>
    <w:p w14:paraId="116EC376" w14:textId="77777777" w:rsidR="00071448" w:rsidRPr="00071448" w:rsidRDefault="00071448" w:rsidP="00071448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Style w:val="2"/>
        <w:tblW w:w="5157" w:type="pct"/>
        <w:tblLook w:val="04A0" w:firstRow="1" w:lastRow="0" w:firstColumn="1" w:lastColumn="0" w:noHBand="0" w:noVBand="1"/>
      </w:tblPr>
      <w:tblGrid>
        <w:gridCol w:w="696"/>
        <w:gridCol w:w="2895"/>
        <w:gridCol w:w="6279"/>
      </w:tblGrid>
      <w:tr w:rsidR="00501445" w:rsidRPr="00C835C2" w14:paraId="7822B694" w14:textId="77777777" w:rsidTr="00071448">
        <w:tc>
          <w:tcPr>
            <w:tcW w:w="5000" w:type="pct"/>
            <w:gridSpan w:val="3"/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542996" w:rsidRPr="00071448" w14:paraId="09FFD931" w14:textId="77777777" w:rsidTr="00071448">
        <w:tc>
          <w:tcPr>
            <w:tcW w:w="318" w:type="pct"/>
          </w:tcPr>
          <w:p w14:paraId="66C33D21" w14:textId="1ED68A9B" w:rsidR="00542996" w:rsidRPr="00E96080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6B0D1472" w14:textId="6FF3C421" w:rsidR="00542996" w:rsidRPr="0010698D" w:rsidRDefault="00542996" w:rsidP="0010698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98" w:type="pct"/>
          </w:tcPr>
          <w:p w14:paraId="6FD6441C" w14:textId="593544F6" w:rsidR="00542996" w:rsidRPr="0010698D" w:rsidRDefault="00542996" w:rsidP="0007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10698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(із змінами), Закон України "Про архітектурну діяльність", Закон України "Про основи містобудування", Закон України "Про місцеве самоврядування" (із змінами) Стаття 31 Закону України «Про місцеве самоврядування в Україні», статті 29 та 34 Закону України «Про регулювання містобудівної діяльності»</w:t>
            </w:r>
          </w:p>
        </w:tc>
      </w:tr>
      <w:tr w:rsidR="00542996" w:rsidRPr="006B4EAB" w14:paraId="30A84255" w14:textId="77777777" w:rsidTr="00071448">
        <w:tc>
          <w:tcPr>
            <w:tcW w:w="318" w:type="pct"/>
          </w:tcPr>
          <w:p w14:paraId="373BD962" w14:textId="60E1F3D7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0E0F615E" w14:textId="32E62B69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1069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98" w:type="pct"/>
          </w:tcPr>
          <w:p w14:paraId="6BA37AF0" w14:textId="77777777" w:rsidR="00542996" w:rsidRPr="0010698D" w:rsidRDefault="00542996" w:rsidP="0007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23.06.2021 № 681.</w:t>
            </w:r>
          </w:p>
          <w:p w14:paraId="7F1701AD" w14:textId="79B046C4" w:rsidR="00542996" w:rsidRPr="0010698D" w:rsidRDefault="00542996" w:rsidP="0007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 стану»</w:t>
            </w:r>
          </w:p>
        </w:tc>
      </w:tr>
      <w:tr w:rsidR="00542996" w:rsidRPr="00C835C2" w14:paraId="64ED5761" w14:textId="77777777" w:rsidTr="00071448">
        <w:tc>
          <w:tcPr>
            <w:tcW w:w="318" w:type="pct"/>
          </w:tcPr>
          <w:p w14:paraId="420593B7" w14:textId="5B497D8C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6B00AF57" w14:textId="2AF30730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98" w:type="pct"/>
          </w:tcPr>
          <w:p w14:paraId="145390F9" w14:textId="7A97B786" w:rsidR="00542996" w:rsidRPr="0010698D" w:rsidRDefault="00542996" w:rsidP="0007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31.05.2017 № 135 «Про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містобудівних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умов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2996" w:rsidRPr="00071448" w14:paraId="1121BF2F" w14:textId="77777777" w:rsidTr="00071448">
        <w:trPr>
          <w:trHeight w:val="1098"/>
        </w:trPr>
        <w:tc>
          <w:tcPr>
            <w:tcW w:w="318" w:type="pct"/>
          </w:tcPr>
          <w:p w14:paraId="003E038D" w14:textId="30BCE179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661AED7F" w14:textId="46A14EA0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98" w:type="pct"/>
          </w:tcPr>
          <w:p w14:paraId="32160099" w14:textId="7B5801FE" w:rsidR="00542996" w:rsidRPr="0010698D" w:rsidRDefault="00071448" w:rsidP="0007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42996"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0F0D" w:rsidRPr="00C835C2" w14:paraId="3CE75CB3" w14:textId="77777777" w:rsidTr="00071448">
        <w:tc>
          <w:tcPr>
            <w:tcW w:w="5000" w:type="pct"/>
            <w:gridSpan w:val="3"/>
          </w:tcPr>
          <w:p w14:paraId="56B01A22" w14:textId="158C4A2F" w:rsidR="00380F0D" w:rsidRPr="0010698D" w:rsidRDefault="007F3798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542996" w:rsidRPr="00071448" w14:paraId="1258B0CE" w14:textId="77777777" w:rsidTr="00071448">
        <w:tc>
          <w:tcPr>
            <w:tcW w:w="318" w:type="pct"/>
          </w:tcPr>
          <w:p w14:paraId="12DC0A69" w14:textId="1FC86D72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1E880748" w14:textId="551ED504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98" w:type="pct"/>
          </w:tcPr>
          <w:p w14:paraId="638C2447" w14:textId="7123CC60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Фізичні або юридичні особи, які мають намір щодо забудови</w:t>
            </w:r>
            <w:r w:rsidRPr="0010698D">
              <w:rPr>
                <w:rFonts w:ascii="Times New Roman" w:hAnsi="Times New Roman"/>
                <w:color w:val="646464"/>
                <w:sz w:val="24"/>
                <w:szCs w:val="24"/>
                <w:lang w:val="uk-UA" w:eastAsia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земельних ділянок, проектування, нове будівництво, реконструкція, реставрація, капітальний ремонт об’єктів містобудування, благоустрій території</w:t>
            </w:r>
          </w:p>
        </w:tc>
      </w:tr>
      <w:tr w:rsidR="00542996" w:rsidRPr="00C835C2" w14:paraId="37DC3B54" w14:textId="77777777" w:rsidTr="00071448">
        <w:tc>
          <w:tcPr>
            <w:tcW w:w="318" w:type="pct"/>
          </w:tcPr>
          <w:p w14:paraId="6F838FB9" w14:textId="21E5E9B9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252D9196" w14:textId="7257C958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8" w:type="pct"/>
          </w:tcPr>
          <w:p w14:paraId="056477BD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rPr>
                <w:b/>
              </w:rPr>
              <w:t>Для скасування містобудівних умов та обмежень для проектування об’єкта будівництва потрібно подати (</w:t>
            </w:r>
            <w:r w:rsidRPr="0010698D">
              <w:rPr>
                <w:b/>
                <w:u w:val="single"/>
              </w:rPr>
              <w:t>один</w:t>
            </w:r>
            <w:r w:rsidRPr="0010698D">
              <w:rPr>
                <w:b/>
              </w:rPr>
              <w:t xml:space="preserve"> з трьох документів):</w:t>
            </w:r>
          </w:p>
          <w:p w14:paraId="7A5240AF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t>1.Заява замовника.</w:t>
            </w:r>
          </w:p>
          <w:p w14:paraId="40886E2A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t xml:space="preserve">2. Припис головних інспекторів будівельного нагляду центрального органу виконавчої влади. </w:t>
            </w:r>
          </w:p>
          <w:p w14:paraId="6036F830" w14:textId="4CF70D03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>3.Рішення суду.</w:t>
            </w:r>
          </w:p>
        </w:tc>
      </w:tr>
      <w:tr w:rsidR="00542996" w:rsidRPr="00C835C2" w14:paraId="514CBA1C" w14:textId="77777777" w:rsidTr="00071448">
        <w:tc>
          <w:tcPr>
            <w:tcW w:w="318" w:type="pct"/>
          </w:tcPr>
          <w:p w14:paraId="16DCE2F4" w14:textId="093898DC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32FB7186" w14:textId="64422825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8" w:type="pct"/>
          </w:tcPr>
          <w:p w14:paraId="733EF512" w14:textId="3CBAF81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вибором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електронний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Електронній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шляхом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вебпорталу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заповнюються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рекомендованим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листом 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описом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вкладення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26-1 Закону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”, Порядку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23.06.2021 № 681 та постанови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стану”.</w:t>
            </w:r>
          </w:p>
        </w:tc>
      </w:tr>
      <w:tr w:rsidR="00542996" w:rsidRPr="00C835C2" w14:paraId="366C012E" w14:textId="77777777" w:rsidTr="00071448">
        <w:trPr>
          <w:trHeight w:val="296"/>
        </w:trPr>
        <w:tc>
          <w:tcPr>
            <w:tcW w:w="318" w:type="pct"/>
          </w:tcPr>
          <w:p w14:paraId="078CA6B5" w14:textId="7DDCF9B9" w:rsidR="00542996" w:rsidRPr="0042661B" w:rsidRDefault="00071448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="00542996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39E41BC3" w14:textId="135D5369" w:rsidR="00542996" w:rsidRPr="0010698D" w:rsidRDefault="00542996" w:rsidP="0010698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8" w:type="pct"/>
          </w:tcPr>
          <w:p w14:paraId="7F09CF8B" w14:textId="6BCB850E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071448">
        <w:tc>
          <w:tcPr>
            <w:tcW w:w="5000" w:type="pct"/>
            <w:gridSpan w:val="3"/>
          </w:tcPr>
          <w:p w14:paraId="68761AF3" w14:textId="2D2D821E" w:rsidR="006A75DB" w:rsidRPr="0010698D" w:rsidRDefault="00C7519A" w:rsidP="0010698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071448">
        <w:tc>
          <w:tcPr>
            <w:tcW w:w="318" w:type="pct"/>
          </w:tcPr>
          <w:p w14:paraId="69E6F874" w14:textId="6EA527F8" w:rsidR="00F30338" w:rsidRPr="0042661B" w:rsidRDefault="0007144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11</w:t>
            </w:r>
            <w:r w:rsidR="00F30338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84" w:type="pct"/>
          </w:tcPr>
          <w:p w14:paraId="5CD66BBB" w14:textId="14876C8A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98" w:type="pct"/>
          </w:tcPr>
          <w:p w14:paraId="28EFCCDC" w14:textId="353BB195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071448">
        <w:tc>
          <w:tcPr>
            <w:tcW w:w="318" w:type="pct"/>
          </w:tcPr>
          <w:p w14:paraId="295947C8" w14:textId="72664361" w:rsidR="00F30338" w:rsidRPr="0042661B" w:rsidRDefault="00071448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="00F30338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84" w:type="pct"/>
          </w:tcPr>
          <w:p w14:paraId="61238B96" w14:textId="1AF6161A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98" w:type="pct"/>
          </w:tcPr>
          <w:p w14:paraId="2BAEE1B8" w14:textId="4E1863D1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071448">
        <w:tc>
          <w:tcPr>
            <w:tcW w:w="318" w:type="pct"/>
          </w:tcPr>
          <w:p w14:paraId="3E58A69F" w14:textId="3E8F9E34" w:rsidR="00F30338" w:rsidRPr="0042661B" w:rsidRDefault="0007144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="00F30338"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84" w:type="pct"/>
          </w:tcPr>
          <w:p w14:paraId="69FCEB44" w14:textId="2A876A0C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98" w:type="pct"/>
          </w:tcPr>
          <w:p w14:paraId="26DA70D0" w14:textId="18BA15BB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542996" w:rsidRPr="00C835C2" w14:paraId="314B189D" w14:textId="77777777" w:rsidTr="00071448">
        <w:tc>
          <w:tcPr>
            <w:tcW w:w="318" w:type="pct"/>
          </w:tcPr>
          <w:p w14:paraId="55A02967" w14:textId="0897CE8F" w:rsidR="00542996" w:rsidRPr="0042661B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7C6146FB" w14:textId="0AFEB37C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98" w:type="pct"/>
          </w:tcPr>
          <w:p w14:paraId="3AED00F9" w14:textId="54497753" w:rsidR="00542996" w:rsidRPr="0010698D" w:rsidRDefault="00542996" w:rsidP="0010698D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10698D">
              <w:rPr>
                <w:sz w:val="24"/>
                <w:szCs w:val="24"/>
              </w:rPr>
              <w:t xml:space="preserve">Десять  робочих днів з дня </w:t>
            </w:r>
            <w:proofErr w:type="spellStart"/>
            <w:r w:rsidRPr="0010698D">
              <w:rPr>
                <w:sz w:val="24"/>
                <w:szCs w:val="24"/>
              </w:rPr>
              <w:t>рестрації</w:t>
            </w:r>
            <w:proofErr w:type="spellEnd"/>
            <w:r w:rsidRPr="0010698D">
              <w:rPr>
                <w:sz w:val="24"/>
                <w:szCs w:val="24"/>
              </w:rPr>
              <w:t xml:space="preserve"> заяви</w:t>
            </w:r>
          </w:p>
        </w:tc>
      </w:tr>
      <w:tr w:rsidR="00542996" w:rsidRPr="00071448" w14:paraId="4ABA82C2" w14:textId="77777777" w:rsidTr="00071448">
        <w:tc>
          <w:tcPr>
            <w:tcW w:w="318" w:type="pct"/>
          </w:tcPr>
          <w:p w14:paraId="28FC15CE" w14:textId="0DEEC868" w:rsidR="00542996" w:rsidRPr="0042661B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4" w:type="pct"/>
          </w:tcPr>
          <w:p w14:paraId="69DD4059" w14:textId="54B9C90E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8" w:type="pct"/>
          </w:tcPr>
          <w:p w14:paraId="21739D0C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10698D">
              <w:rPr>
                <w:color w:val="000000"/>
              </w:rPr>
              <w:t>1) неподання документів, необхідних для прийняття рішення про надання містобудівних умов та обмежень;</w:t>
            </w:r>
          </w:p>
          <w:p w14:paraId="6B5C8C6E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10698D">
              <w:rPr>
                <w:color w:val="000000"/>
              </w:rPr>
              <w:t>2) 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ділянці;</w:t>
            </w:r>
          </w:p>
          <w:p w14:paraId="4CC8B452" w14:textId="58844535" w:rsidR="00542996" w:rsidRPr="0010698D" w:rsidRDefault="00542996" w:rsidP="0010698D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10698D">
              <w:rPr>
                <w:color w:val="000000"/>
                <w:sz w:val="24"/>
                <w:szCs w:val="24"/>
              </w:rPr>
              <w:t>3) невідповідність намірів забудови вимогам містобудівної документації на місцевому рівні.</w:t>
            </w:r>
          </w:p>
        </w:tc>
      </w:tr>
      <w:tr w:rsidR="00542996" w:rsidRPr="00071448" w14:paraId="5CF82127" w14:textId="77777777" w:rsidTr="00071448">
        <w:tc>
          <w:tcPr>
            <w:tcW w:w="318" w:type="pct"/>
          </w:tcPr>
          <w:p w14:paraId="70372590" w14:textId="1C3BE149" w:rsidR="00542996" w:rsidRPr="0042661B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0EA90465" w14:textId="5068F2C4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98" w:type="pct"/>
          </w:tcPr>
          <w:p w14:paraId="655FD5CC" w14:textId="77777777" w:rsidR="00542996" w:rsidRPr="0010698D" w:rsidRDefault="00542996" w:rsidP="0010698D">
            <w:pPr>
              <w:autoSpaceDE w:val="0"/>
              <w:autoSpaceDN w:val="0"/>
              <w:spacing w:after="0" w:line="240" w:lineRule="auto"/>
              <w:ind w:left="-22" w:right="-36" w:firstLine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1. Містобудівні умови та обмеження для проектування об’єкта будівництва, затверджені наказом відділу містобудування та архітектури виконавчого комітету Нововолинської  міської ради з використанням електронного кабінету уповноваженого органу з питань містобудування та архітектури в Електронній системі;</w:t>
            </w:r>
          </w:p>
          <w:p w14:paraId="051A4C92" w14:textId="2899E14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Відмова у наданні містобудівних умов та обмежень для проектування об’єкта будівництва з відповідним обґрунтуванням у строк, який не перевищує строк їх надання з використанням електронного кабінету уповноваженого органу з питань містобудування та архітектури в Електронній системі.</w:t>
            </w:r>
          </w:p>
        </w:tc>
      </w:tr>
      <w:tr w:rsidR="00542996" w:rsidRPr="00071448" w14:paraId="462C8FD2" w14:textId="77777777" w:rsidTr="00071448">
        <w:tc>
          <w:tcPr>
            <w:tcW w:w="318" w:type="pct"/>
          </w:tcPr>
          <w:p w14:paraId="361CC423" w14:textId="35AE5634" w:rsidR="00542996" w:rsidRPr="0042661B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089D4CEF" w14:textId="6952AA03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98" w:type="pct"/>
          </w:tcPr>
          <w:p w14:paraId="326354E7" w14:textId="77777777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у Центрі надання адміністративних послуг в робочий час. </w:t>
            </w:r>
          </w:p>
          <w:p w14:paraId="159D149D" w14:textId="27BCF70A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2.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засобами поштового зв’язку</w:t>
            </w:r>
          </w:p>
        </w:tc>
      </w:tr>
      <w:tr w:rsidR="00542996" w:rsidRPr="00C835C2" w14:paraId="2690A2E3" w14:textId="77777777" w:rsidTr="00071448">
        <w:tc>
          <w:tcPr>
            <w:tcW w:w="318" w:type="pct"/>
          </w:tcPr>
          <w:p w14:paraId="36963B63" w14:textId="071534F9" w:rsidR="00542996" w:rsidRPr="0042661B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3C712579" w14:textId="7868CA1D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98" w:type="pct"/>
          </w:tcPr>
          <w:p w14:paraId="5BB76AFF" w14:textId="6EBFD23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42996" w:rsidRPr="00C835C2" w14:paraId="07F36000" w14:textId="77777777" w:rsidTr="00071448">
        <w:tc>
          <w:tcPr>
            <w:tcW w:w="318" w:type="pct"/>
          </w:tcPr>
          <w:p w14:paraId="63CA8124" w14:textId="6A959BFA" w:rsidR="00542996" w:rsidRDefault="00542996" w:rsidP="000714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0714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4" w:type="pct"/>
          </w:tcPr>
          <w:p w14:paraId="6AC93F22" w14:textId="102F740B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Додатки</w:t>
            </w:r>
          </w:p>
        </w:tc>
        <w:tc>
          <w:tcPr>
            <w:tcW w:w="3198" w:type="pct"/>
          </w:tcPr>
          <w:p w14:paraId="4587DB42" w14:textId="60F195C3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Бланк заяв</w:t>
            </w: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72667DE" w14:textId="4006269E" w:rsidR="0010698D" w:rsidRPr="00071448" w:rsidRDefault="0010698D" w:rsidP="0007144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bookmarkStart w:id="0" w:name="_GoBack"/>
      <w:bookmarkEnd w:id="0"/>
    </w:p>
    <w:sectPr w:rsidR="0010698D" w:rsidRPr="00071448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1448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0698D"/>
    <w:rsid w:val="00116F1F"/>
    <w:rsid w:val="001253BF"/>
    <w:rsid w:val="0013547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42996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B018B0A3-12F7-47A7-9A97-7AE601A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9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"/>
    <w:basedOn w:val="a1"/>
    <w:uiPriority w:val="59"/>
    <w:rsid w:val="0010698D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0714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7144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nap-priluki.cg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prily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7D40-334B-451B-9076-A6E33510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4382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6867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PROTG889_USER04</cp:lastModifiedBy>
  <cp:revision>5</cp:revision>
  <cp:lastPrinted>2021-04-14T14:14:00Z</cp:lastPrinted>
  <dcterms:created xsi:type="dcterms:W3CDTF">2024-06-18T11:22:00Z</dcterms:created>
  <dcterms:modified xsi:type="dcterms:W3CDTF">2025-05-21T12:31:00Z</dcterms:modified>
</cp:coreProperties>
</file>